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400" w:lineRule="exact"/>
        <w:rPr>
          <w:rFonts w:ascii="黑体" w:hAnsi="黑体" w:eastAsia="黑体" w:cs="黑体"/>
          <w:sz w:val="32"/>
          <w:szCs w:val="32"/>
        </w:rPr>
      </w:pPr>
      <w:bookmarkStart w:id="0" w:name="_Hlk144216610"/>
      <w:r>
        <w:rPr>
          <w:rFonts w:hint="eastAsia" w:ascii="黑体" w:hAnsi="黑体" w:eastAsia="黑体" w:cs="黑体"/>
          <w:sz w:val="32"/>
          <w:szCs w:val="32"/>
        </w:rPr>
        <w:t>附件</w:t>
      </w:r>
    </w:p>
    <w:p>
      <w:pPr>
        <w:spacing w:line="600" w:lineRule="exact"/>
        <w:jc w:val="center"/>
        <w:rPr>
          <w:rFonts w:ascii="方正小标宋简体" w:hAnsi="楷体" w:eastAsia="方正小标宋简体" w:cs="楷体"/>
          <w:sz w:val="32"/>
          <w:szCs w:val="32"/>
        </w:rPr>
      </w:pPr>
      <w:r>
        <w:rPr>
          <w:rFonts w:hint="eastAsia" w:ascii="方正小标宋简体" w:hAnsi="方正小标宋_GBK" w:eastAsia="方正小标宋简体" w:cs="方正小标宋_GBK"/>
          <w:sz w:val="44"/>
          <w:szCs w:val="44"/>
          <w:lang w:val="en-US" w:eastAsia="zh-CN"/>
        </w:rPr>
        <w:t>林州</w:t>
      </w:r>
      <w:r>
        <w:rPr>
          <w:rFonts w:hint="eastAsia" w:ascii="方正小标宋简体" w:hAnsi="方正小标宋_GBK" w:eastAsia="方正小标宋简体" w:cs="方正小标宋_GBK"/>
          <w:sz w:val="44"/>
          <w:szCs w:val="44"/>
        </w:rPr>
        <w:t>市水利领域基层政务公开标准目录</w:t>
      </w:r>
    </w:p>
    <w:tbl>
      <w:tblPr>
        <w:tblStyle w:val="5"/>
        <w:tblW w:w="14640" w:type="dxa"/>
        <w:jc w:val="center"/>
        <w:tblLayout w:type="fixed"/>
        <w:tblCellMar>
          <w:top w:w="0" w:type="dxa"/>
          <w:left w:w="108" w:type="dxa"/>
          <w:bottom w:w="0" w:type="dxa"/>
          <w:right w:w="108" w:type="dxa"/>
        </w:tblCellMar>
      </w:tblPr>
      <w:tblGrid>
        <w:gridCol w:w="433"/>
        <w:gridCol w:w="941"/>
        <w:gridCol w:w="955"/>
        <w:gridCol w:w="2441"/>
        <w:gridCol w:w="1868"/>
        <w:gridCol w:w="1173"/>
        <w:gridCol w:w="1241"/>
        <w:gridCol w:w="3313"/>
        <w:gridCol w:w="584"/>
        <w:gridCol w:w="586"/>
        <w:gridCol w:w="586"/>
        <w:gridCol w:w="519"/>
      </w:tblGrid>
      <w:tr>
        <w:tblPrEx>
          <w:tblCellMar>
            <w:top w:w="0" w:type="dxa"/>
            <w:left w:w="108" w:type="dxa"/>
            <w:bottom w:w="0" w:type="dxa"/>
            <w:right w:w="108" w:type="dxa"/>
          </w:tblCellMar>
        </w:tblPrEx>
        <w:trPr>
          <w:cantSplit/>
          <w:trHeight w:val="360" w:hRule="atLeast"/>
          <w:tblHeader/>
          <w:jc w:val="center"/>
        </w:trPr>
        <w:tc>
          <w:tcPr>
            <w:tcW w:w="433" w:type="dxa"/>
            <w:vMerge w:val="restart"/>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序号</w:t>
            </w:r>
          </w:p>
        </w:tc>
        <w:tc>
          <w:tcPr>
            <w:tcW w:w="1896" w:type="dxa"/>
            <w:gridSpan w:val="2"/>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公开事项</w:t>
            </w:r>
          </w:p>
        </w:tc>
        <w:tc>
          <w:tcPr>
            <w:tcW w:w="2441" w:type="dxa"/>
            <w:vMerge w:val="restar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公开内容（要素）</w:t>
            </w:r>
          </w:p>
        </w:tc>
        <w:tc>
          <w:tcPr>
            <w:tcW w:w="1868" w:type="dxa"/>
            <w:vMerge w:val="restar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公开依据</w:t>
            </w:r>
          </w:p>
        </w:tc>
        <w:tc>
          <w:tcPr>
            <w:tcW w:w="1173" w:type="dxa"/>
            <w:vMerge w:val="restar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时限</w:t>
            </w:r>
          </w:p>
        </w:tc>
        <w:tc>
          <w:tcPr>
            <w:tcW w:w="1241" w:type="dxa"/>
            <w:vMerge w:val="restar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主体</w:t>
            </w:r>
          </w:p>
        </w:tc>
        <w:tc>
          <w:tcPr>
            <w:tcW w:w="3313" w:type="dxa"/>
            <w:vMerge w:val="restart"/>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公开渠道和载体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（“□”表示可选项，由各地根据有关要求和实际情况确定）</w:t>
            </w:r>
          </w:p>
        </w:tc>
        <w:tc>
          <w:tcPr>
            <w:tcW w:w="1170" w:type="dxa"/>
            <w:gridSpan w:val="2"/>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公开对象</w:t>
            </w:r>
          </w:p>
        </w:tc>
        <w:tc>
          <w:tcPr>
            <w:tcW w:w="1105" w:type="dxa"/>
            <w:gridSpan w:val="2"/>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公开方式</w:t>
            </w:r>
          </w:p>
        </w:tc>
      </w:tr>
      <w:tr>
        <w:tblPrEx>
          <w:tblCellMar>
            <w:top w:w="0" w:type="dxa"/>
            <w:left w:w="108" w:type="dxa"/>
            <w:bottom w:w="0" w:type="dxa"/>
            <w:right w:w="108" w:type="dxa"/>
          </w:tblCellMar>
        </w:tblPrEx>
        <w:trPr>
          <w:cantSplit/>
          <w:trHeight w:val="460" w:hRule="atLeast"/>
          <w:tblHeader/>
          <w:jc w:val="center"/>
        </w:trPr>
        <w:tc>
          <w:tcPr>
            <w:tcW w:w="433" w:type="dxa"/>
            <w:vMerge w:val="continue"/>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941"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一级事项</w:t>
            </w:r>
          </w:p>
        </w:tc>
        <w:tc>
          <w:tcPr>
            <w:tcW w:w="955"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二级事项</w:t>
            </w:r>
          </w:p>
        </w:tc>
        <w:tc>
          <w:tcPr>
            <w:tcW w:w="2441" w:type="dxa"/>
            <w:vMerge w:val="continue"/>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1868" w:type="dxa"/>
            <w:vMerge w:val="continue"/>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1173" w:type="dxa"/>
            <w:vMerge w:val="continue"/>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1241" w:type="dxa"/>
            <w:vMerge w:val="continue"/>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3313" w:type="dxa"/>
            <w:vMerge w:val="continue"/>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全社会</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特定群体</w:t>
            </w:r>
          </w:p>
        </w:tc>
        <w:tc>
          <w:tcPr>
            <w:tcW w:w="586"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主动</w:t>
            </w:r>
          </w:p>
        </w:tc>
        <w:tc>
          <w:tcPr>
            <w:tcW w:w="519"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依申请</w:t>
            </w:r>
          </w:p>
        </w:tc>
      </w:tr>
      <w:tr>
        <w:tblPrEx>
          <w:tblCellMar>
            <w:top w:w="0" w:type="dxa"/>
            <w:left w:w="108" w:type="dxa"/>
            <w:bottom w:w="0" w:type="dxa"/>
            <w:right w:w="108" w:type="dxa"/>
          </w:tblCellMar>
        </w:tblPrEx>
        <w:trPr>
          <w:cantSplit/>
          <w:trHeight w:val="2148"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41" w:type="dxa"/>
            <w:tcBorders>
              <w:top w:val="nil"/>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公共服务</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政策文件</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水利领域政策文件及相关解读</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《中华人民共和国政府信息公开条例》</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3178"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2</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公共服务</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业务办理</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主要业务工作的办事依据、条件、程序、时限，办事时间、地点、部门、联系方式及相关办理结果</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《中华人民共和国政府信息公开条例》《国务院办公厅关于全面推行行政执法公示制度全过程记录制度重大执法决定法制审核制度的指导意见》</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行政许可的执法决定信息在执法决定作出之日起7个工作日内，其他信息形成或者变更之日起20个工作日内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县级人民政府水行政主管部门及其他组织或企事业单位</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28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3</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水资源管理与保护</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取用水</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审批机关认为涉及社会公共利益的取水听证，定期发放取水许可证的情况</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《取水许可和水资源费征收管理条例》</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20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4</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水利工程建设</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水利工程建设</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水利工程建设项目的实施情况</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《中华人民共和国政府信息公开条例》</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县级人民政府水行政主管部门及其他组织</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bookmarkEnd w:id="1"/>
      <w:tr>
        <w:tblPrEx>
          <w:tblCellMar>
            <w:top w:w="0" w:type="dxa"/>
            <w:left w:w="108" w:type="dxa"/>
            <w:bottom w:w="0" w:type="dxa"/>
            <w:right w:w="108" w:type="dxa"/>
          </w:tblCellMar>
        </w:tblPrEx>
        <w:trPr>
          <w:cantSplit/>
          <w:trHeight w:val="232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bookmarkStart w:id="2" w:name="_GoBack" w:colFirst="1" w:colLast="1"/>
            <w:bookmarkEnd w:id="2"/>
            <w:r>
              <w:rPr>
                <w:rFonts w:hint="eastAsia" w:ascii="宋体" w:hAnsi="宋体" w:eastAsia="宋体" w:cs="宋体"/>
                <w:color w:val="000000"/>
                <w:kern w:val="0"/>
                <w:sz w:val="22"/>
                <w:lang w:val="en-US" w:eastAsia="zh-CN" w:bidi="ar"/>
              </w:rPr>
              <w:t>5</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运行管理</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工程信息与运行安全</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水库（大坝）工程的工程简介、工程管理与保护范围及责任人，水闸工程和堤防工程的工程简介、工程管理与保护范围</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《中华人民共和国政府信息公开条例》《水利部关于开展河湖管理范围和水利工程管理与保护范围划定工作的通知》</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县级人民政府水行政主管部门及其他组织</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20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6</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河湖管理</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河湖长制工作</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县、乡两级河湖长名录，河湖长姓名、职责、河湖概况、管护目标、监督电话</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《关于全面推行河长制的意见》《关于在湖泊实施湖长制的指导意见》</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县级人民政府、河湖长制工作机构</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387"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7</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河湖管理</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河道采砂管理</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采砂管理河长责任人、行政主管部门责任人、现场监管责任人、行政执法责任人，禁采区和禁采期</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《中华人民共和国水法》《长江河道采砂管理条例》《水利部关于河道采砂管理工作的指导意见》《长江河道采砂管理实施办法》</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16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8</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水土保持</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水土流失防治及监督管理</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水土流失重点预防区和重点治理区，崩塌、滑坡危险区和泥石流易发区的范围，禁止开垦的陡坡地的范围</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《中华人民共和国水土保持法》</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14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eastAsia" w:ascii="宋体" w:hAnsi="宋体" w:eastAsia="宋体" w:cs="宋体"/>
                <w:color w:val="000000"/>
                <w:sz w:val="22"/>
                <w:lang w:eastAsia="zh-CN"/>
              </w:rPr>
            </w:pPr>
            <w:r>
              <w:rPr>
                <w:rFonts w:hint="eastAsia" w:ascii="宋体" w:hAnsi="宋体" w:eastAsia="宋体" w:cs="宋体"/>
                <w:color w:val="000000"/>
                <w:kern w:val="0"/>
                <w:sz w:val="22"/>
                <w:lang w:val="en-US" w:eastAsia="zh-CN" w:bidi="ar"/>
              </w:rPr>
              <w:t>9</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农村水利水电</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农村供水工程</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大中型灌排工程等农田水利建设运营情况、年度实施计划、建设条件、补助标准信息</w:t>
            </w:r>
            <w:r>
              <w:rPr>
                <w:rFonts w:hint="eastAsia" w:ascii="宋体" w:hAnsi="宋体" w:eastAsia="宋体" w:cs="宋体"/>
                <w:color w:val="000000"/>
                <w:kern w:val="0"/>
                <w:sz w:val="22"/>
                <w:lang w:eastAsia="zh-CN" w:bidi="ar"/>
              </w:rPr>
              <w:t>。</w:t>
            </w:r>
            <w:r>
              <w:rPr>
                <w:rFonts w:hint="eastAsia" w:ascii="宋体" w:hAnsi="宋体" w:eastAsia="宋体" w:cs="宋体"/>
                <w:color w:val="000000"/>
                <w:kern w:val="0"/>
                <w:sz w:val="22"/>
                <w:lang w:bidi="ar"/>
              </w:rPr>
              <w:t>千人以上供水单位责任人、供水服务电话</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《水利部关于建立农村饮水安全管理责任体系的通知》</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供水单位</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320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default" w:ascii="宋体" w:hAnsi="宋体" w:eastAsia="宋体" w:cs="宋体"/>
                <w:color w:val="000000"/>
                <w:sz w:val="22"/>
                <w:lang w:val="en-US" w:eastAsia="zh-CN"/>
              </w:rPr>
            </w:pPr>
            <w:r>
              <w:rPr>
                <w:rFonts w:hint="eastAsia" w:ascii="宋体" w:hAnsi="宋体" w:eastAsia="宋体" w:cs="宋体"/>
                <w:color w:val="000000"/>
                <w:kern w:val="0"/>
                <w:sz w:val="22"/>
                <w:lang w:val="en-US" w:eastAsia="zh-CN" w:bidi="ar"/>
              </w:rPr>
              <w:t>10</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移民管理</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移民安置与后期扶持</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大中型水利水电工程征收的土地数量、土地种类和实物调查结果、补偿范围、补偿标准和金额以及安置方案等，大中型水利水电工程征地补偿和移民安置资金收支情况，水库移民安置情况，人口核定登记办法，新增大中型水库农村移民户核定登记情况</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《大中型水利水电工程征地补偿和移民安置条例》《新增大中型水库农村移民后期扶持人口核定登记办法》</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移民区和移民安置区县级人民政府、乡镇人民政府、村（居）民委员会</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snapToGrid w:val="0"/>
              <w:jc w:val="center"/>
              <w:rPr>
                <w:rFonts w:ascii="宋体" w:hAnsi="宋体" w:eastAsia="宋体" w:cs="宋体"/>
                <w:color w:val="000000"/>
                <w:sz w:val="22"/>
              </w:rPr>
            </w:pPr>
          </w:p>
        </w:tc>
      </w:tr>
      <w:tr>
        <w:tblPrEx>
          <w:tblCellMar>
            <w:top w:w="0" w:type="dxa"/>
            <w:left w:w="108" w:type="dxa"/>
            <w:bottom w:w="0" w:type="dxa"/>
            <w:right w:w="108" w:type="dxa"/>
          </w:tblCellMar>
        </w:tblPrEx>
        <w:trPr>
          <w:cantSplit/>
          <w:trHeight w:val="2200" w:hRule="atLeast"/>
          <w:jc w:val="center"/>
        </w:trPr>
        <w:tc>
          <w:tcPr>
            <w:tcW w:w="433" w:type="dxa"/>
            <w:tcBorders>
              <w:top w:val="single" w:color="000000" w:sz="4" w:space="0"/>
              <w:left w:val="single" w:color="000000" w:sz="4" w:space="0"/>
              <w:bottom w:val="single" w:color="000000" w:sz="4" w:space="0"/>
              <w:right w:val="single" w:color="000000" w:sz="4" w:space="0"/>
            </w:tcBorders>
            <w:noWrap/>
            <w:tcMar>
              <w:top w:w="0" w:type="dxa"/>
              <w:left w:w="28" w:type="dxa"/>
              <w:bottom w:w="0" w:type="dxa"/>
              <w:right w:w="28" w:type="dxa"/>
            </w:tcMar>
            <w:vAlign w:val="center"/>
          </w:tcPr>
          <w:p>
            <w:pPr>
              <w:widowControl/>
              <w:snapToGrid w:val="0"/>
              <w:jc w:val="center"/>
              <w:textAlignment w:val="center"/>
              <w:rPr>
                <w:rFonts w:hint="default" w:ascii="宋体" w:hAnsi="宋体" w:eastAsia="宋体" w:cs="宋体"/>
                <w:color w:val="000000"/>
                <w:sz w:val="22"/>
                <w:lang w:val="en-US" w:eastAsia="zh-CN"/>
              </w:rPr>
            </w:pPr>
            <w:r>
              <w:rPr>
                <w:rFonts w:hint="eastAsia" w:ascii="宋体" w:hAnsi="宋体" w:eastAsia="宋体" w:cs="宋体"/>
                <w:color w:val="000000"/>
                <w:kern w:val="0"/>
                <w:sz w:val="22"/>
                <w:lang w:val="en-US" w:eastAsia="zh-CN" w:bidi="ar"/>
              </w:rPr>
              <w:t>11</w:t>
            </w:r>
          </w:p>
        </w:tc>
        <w:tc>
          <w:tcPr>
            <w:tcW w:w="9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水旱灾害防御</w:t>
            </w:r>
          </w:p>
        </w:tc>
        <w:tc>
          <w:tcPr>
            <w:tcW w:w="955"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水旱灾害防御</w:t>
            </w:r>
          </w:p>
        </w:tc>
        <w:tc>
          <w:tcPr>
            <w:tcW w:w="24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山防洪规划保留区，洪水预警信息、干旱预警信息</w:t>
            </w:r>
            <w:r>
              <w:rPr>
                <w:rFonts w:hint="eastAsia" w:ascii="宋体" w:hAnsi="宋体" w:eastAsia="宋体" w:cs="宋体"/>
                <w:color w:val="000000"/>
                <w:kern w:val="0"/>
                <w:sz w:val="22"/>
                <w:lang w:eastAsia="zh-CN" w:bidi="ar"/>
              </w:rPr>
              <w:t>。</w:t>
            </w:r>
            <w:r>
              <w:rPr>
                <w:rFonts w:hint="eastAsia" w:ascii="宋体" w:hAnsi="宋体" w:eastAsia="宋体" w:cs="宋体"/>
                <w:color w:val="000000"/>
                <w:kern w:val="0"/>
                <w:sz w:val="22"/>
                <w:lang w:bidi="ar"/>
              </w:rPr>
              <w:t>洪灾害预警信息</w:t>
            </w:r>
          </w:p>
        </w:tc>
        <w:tc>
          <w:tcPr>
            <w:tcW w:w="1868"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《水利部水旱灾害防御应急响应工作规程》</w:t>
            </w:r>
          </w:p>
        </w:tc>
        <w:tc>
          <w:tcPr>
            <w:tcW w:w="117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信息形成或者变更之日起20个工作日内，或按照行业有关规定</w:t>
            </w:r>
          </w:p>
        </w:tc>
        <w:tc>
          <w:tcPr>
            <w:tcW w:w="1241"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textAlignment w:val="center"/>
              <w:rPr>
                <w:rFonts w:ascii="宋体" w:hAnsi="宋体" w:eastAsia="宋体" w:cs="宋体"/>
                <w:color w:val="000000"/>
                <w:sz w:val="22"/>
              </w:rPr>
            </w:pPr>
            <w:r>
              <w:rPr>
                <w:rFonts w:hint="eastAsia" w:ascii="宋体" w:hAnsi="宋体" w:eastAsia="宋体" w:cs="宋体"/>
                <w:color w:val="000000"/>
                <w:kern w:val="0"/>
                <w:sz w:val="22"/>
                <w:lang w:bidi="ar"/>
              </w:rPr>
              <w:t>县级人民政府水行政主管部门</w:t>
            </w:r>
          </w:p>
        </w:tc>
        <w:tc>
          <w:tcPr>
            <w:tcW w:w="3313"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□政府网站    □政府公报</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 xml:space="preserve">□两微一端    □发布会/听证会                 </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□广播电视    □纸质媒体</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□公开查阅点  □政务服务中心</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□便民服务站  □入户/现场</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□社区/企事业单位/村公示栏（电子屏）</w:t>
            </w:r>
            <w:r>
              <w:rPr>
                <w:rFonts w:hint="eastAsia" w:ascii="宋体" w:hAnsi="宋体" w:eastAsia="宋体" w:cs="宋体"/>
                <w:color w:val="000000"/>
                <w:kern w:val="0"/>
                <w:sz w:val="22"/>
                <w:lang w:bidi="ar"/>
              </w:rPr>
              <w:br w:type="textWrapping"/>
            </w:r>
            <w:r>
              <w:rPr>
                <w:rFonts w:hint="eastAsia" w:ascii="宋体" w:hAnsi="宋体" w:eastAsia="宋体" w:cs="宋体"/>
                <w:color w:val="000000"/>
                <w:kern w:val="0"/>
                <w:sz w:val="22"/>
                <w:lang w:bidi="ar"/>
              </w:rPr>
              <w:t>□精准推送    □其他</w:t>
            </w:r>
          </w:p>
        </w:tc>
        <w:tc>
          <w:tcPr>
            <w:tcW w:w="584"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86"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widowControl/>
              <w:snapToGrid w:val="0"/>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w:t>
            </w:r>
          </w:p>
        </w:tc>
        <w:tc>
          <w:tcPr>
            <w:tcW w:w="519" w:type="dxa"/>
            <w:tcBorders>
              <w:top w:val="single" w:color="000000" w:sz="4" w:space="0"/>
              <w:left w:val="single" w:color="000000" w:sz="4" w:space="0"/>
              <w:bottom w:val="single" w:color="000000" w:sz="4" w:space="0"/>
              <w:right w:val="single" w:color="000000" w:sz="4" w:space="0"/>
            </w:tcBorders>
            <w:tcMar>
              <w:top w:w="0" w:type="dxa"/>
              <w:left w:w="28" w:type="dxa"/>
              <w:bottom w:w="0" w:type="dxa"/>
              <w:right w:w="28" w:type="dxa"/>
            </w:tcMar>
            <w:vAlign w:val="center"/>
          </w:tcPr>
          <w:p>
            <w:pPr>
              <w:snapToGrid w:val="0"/>
              <w:jc w:val="center"/>
              <w:rPr>
                <w:rFonts w:ascii="宋体" w:hAnsi="宋体" w:eastAsia="宋体" w:cs="宋体"/>
                <w:color w:val="000000"/>
                <w:sz w:val="22"/>
              </w:rPr>
            </w:pPr>
          </w:p>
        </w:tc>
      </w:tr>
      <w:bookmarkEnd w:id="0"/>
    </w:tbl>
    <w:p>
      <w:pPr>
        <w:snapToGrid w:val="0"/>
        <w:sectPr>
          <w:footerReference r:id="rId3" w:type="default"/>
          <w:footerReference r:id="rId4" w:type="even"/>
          <w:pgSz w:w="16838" w:h="11906" w:orient="landscape"/>
          <w:pgMar w:top="1077" w:right="737" w:bottom="1077" w:left="737" w:header="0" w:footer="284" w:gutter="0"/>
          <w:cols w:space="425" w:num="1"/>
          <w:docGrid w:type="lines" w:linePitch="312" w:charSpace="0"/>
        </w:sectPr>
      </w:pPr>
    </w:p>
    <w:p>
      <w:pPr>
        <w:snapToGrid w:val="0"/>
      </w:pPr>
    </w:p>
    <w:sectPr>
      <w:footerReference r:id="rId5" w:type="default"/>
      <w:footerReference r:id="rId6" w:type="even"/>
      <w:pgSz w:w="11906" w:h="16838"/>
      <w:pgMar w:top="2041" w:right="1531" w:bottom="2041" w:left="1531" w:header="851" w:footer="1644"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altName w:val="黑体"/>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25452631"/>
      <w:docPartObj>
        <w:docPartGallery w:val="autotext"/>
      </w:docPartObj>
    </w:sdtPr>
    <w:sdtContent>
      <w:p>
        <w:pPr>
          <w:pStyle w:val="3"/>
          <w:ind w:right="210" w:rightChars="100"/>
          <w:jc w:val="right"/>
        </w:pPr>
        <w:r>
          <w:rPr>
            <w:rFonts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w:t>
        </w:r>
      </w:p>
    </w:sdtContent>
  </w:sdt>
  <w:p>
    <w:pPr>
      <w:pStyle w:val="3"/>
      <w:wordWrap w:val="0"/>
      <w:jc w:val="right"/>
      <w:rPr>
        <w:rFonts w:ascii="宋体" w:hAnsi="宋体" w:eastAsia="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left="210" w:leftChars="100"/>
      <w:rPr>
        <w:rFonts w:ascii="宋体" w:hAnsi="宋体" w:eastAsia="宋体"/>
        <w:sz w:val="28"/>
        <w:szCs w:val="28"/>
      </w:rPr>
    </w:pPr>
    <w:r>
      <w:rPr>
        <w:rFonts w:ascii="宋体" w:hAnsi="宋体" w:eastAsia="宋体"/>
        <w:sz w:val="28"/>
        <w:szCs w:val="28"/>
      </w:rPr>
      <w:t>-</w:t>
    </w:r>
    <w:sdt>
      <w:sdtPr>
        <w:rPr>
          <w:rFonts w:ascii="宋体" w:hAnsi="宋体" w:eastAsia="宋体"/>
          <w:sz w:val="28"/>
          <w:szCs w:val="28"/>
        </w:rPr>
        <w:id w:val="-1686131675"/>
        <w:docPartObj>
          <w:docPartGallery w:val="autotext"/>
        </w:docPartObj>
      </w:sdtPr>
      <w:sdtEndPr>
        <w:rPr>
          <w:rFonts w:ascii="宋体" w:hAnsi="宋体" w:eastAsia="宋体"/>
          <w:sz w:val="28"/>
          <w:szCs w:val="28"/>
        </w:rPr>
      </w:sdtEndPr>
      <w:sdtContent>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w:t>
        </w:r>
      </w:sdtContent>
    </w:sdt>
  </w:p>
  <w:p>
    <w:pPr>
      <w:pStyle w:val="3"/>
      <w:ind w:firstLine="280"/>
      <w:rPr>
        <w:rFonts w:ascii="宋体" w:hAnsi="宋体" w:eastAsia="宋体"/>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p>
  <w:p>
    <w:pPr>
      <w:pStyle w:val="3"/>
      <w:wordWrap w:val="0"/>
      <w:jc w:val="right"/>
      <w:rPr>
        <w:rFonts w:ascii="宋体" w:hAnsi="宋体" w:eastAsia="宋体"/>
        <w:sz w:val="28"/>
        <w:szCs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rPr>
        <w:rFonts w:ascii="宋体" w:hAnsi="宋体" w:eastAsia="宋体"/>
        <w:sz w:val="28"/>
        <w:szCs w:val="28"/>
      </w:rPr>
    </w:pPr>
  </w:p>
  <w:p>
    <w:pPr>
      <w:pStyle w:val="3"/>
      <w:ind w:firstLine="280"/>
      <w:rPr>
        <w:rFonts w:ascii="宋体" w:hAnsi="宋体" w:eastAsia="宋体"/>
        <w:sz w:val="28"/>
        <w:szCs w:val="28"/>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5"/>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NjMGI5YzBhNWY4YWU2NTZmZGZkZWFkMDc2NmNlZGQifQ=="/>
  </w:docVars>
  <w:rsids>
    <w:rsidRoot w:val="00274649"/>
    <w:rsid w:val="00034EFE"/>
    <w:rsid w:val="000462A8"/>
    <w:rsid w:val="00052801"/>
    <w:rsid w:val="00083AFD"/>
    <w:rsid w:val="000C6AD8"/>
    <w:rsid w:val="000E4288"/>
    <w:rsid w:val="00100667"/>
    <w:rsid w:val="00156E28"/>
    <w:rsid w:val="00157A98"/>
    <w:rsid w:val="00171E5B"/>
    <w:rsid w:val="0018032B"/>
    <w:rsid w:val="001E1965"/>
    <w:rsid w:val="00220A2D"/>
    <w:rsid w:val="00236EB0"/>
    <w:rsid w:val="00243CB8"/>
    <w:rsid w:val="002478B4"/>
    <w:rsid w:val="00274649"/>
    <w:rsid w:val="002D1287"/>
    <w:rsid w:val="002D767B"/>
    <w:rsid w:val="002E6ACB"/>
    <w:rsid w:val="00315C10"/>
    <w:rsid w:val="00316D60"/>
    <w:rsid w:val="003C25C3"/>
    <w:rsid w:val="003D22DF"/>
    <w:rsid w:val="00474B17"/>
    <w:rsid w:val="004A3DDA"/>
    <w:rsid w:val="004F0FEB"/>
    <w:rsid w:val="00584440"/>
    <w:rsid w:val="00584725"/>
    <w:rsid w:val="00613E2A"/>
    <w:rsid w:val="006432F7"/>
    <w:rsid w:val="006E336E"/>
    <w:rsid w:val="00707A96"/>
    <w:rsid w:val="00734500"/>
    <w:rsid w:val="007F4EC7"/>
    <w:rsid w:val="00860BD6"/>
    <w:rsid w:val="008629E1"/>
    <w:rsid w:val="00876100"/>
    <w:rsid w:val="00893A40"/>
    <w:rsid w:val="008D6A85"/>
    <w:rsid w:val="00904E19"/>
    <w:rsid w:val="009742B7"/>
    <w:rsid w:val="009B1A25"/>
    <w:rsid w:val="009F134D"/>
    <w:rsid w:val="00A203C2"/>
    <w:rsid w:val="00A93914"/>
    <w:rsid w:val="00A96438"/>
    <w:rsid w:val="00B32E9D"/>
    <w:rsid w:val="00B33A3B"/>
    <w:rsid w:val="00B77BE2"/>
    <w:rsid w:val="00BC0EC1"/>
    <w:rsid w:val="00BF46A7"/>
    <w:rsid w:val="00C148ED"/>
    <w:rsid w:val="00C7040A"/>
    <w:rsid w:val="00CD31C2"/>
    <w:rsid w:val="00D87F17"/>
    <w:rsid w:val="00D9160A"/>
    <w:rsid w:val="00DB26E0"/>
    <w:rsid w:val="00DD36E3"/>
    <w:rsid w:val="00EB59D6"/>
    <w:rsid w:val="00EF1654"/>
    <w:rsid w:val="00F041DA"/>
    <w:rsid w:val="00F36777"/>
    <w:rsid w:val="00F611F8"/>
    <w:rsid w:val="00F63366"/>
    <w:rsid w:val="00F70DDC"/>
    <w:rsid w:val="00FB66D3"/>
    <w:rsid w:val="00FD63ED"/>
    <w:rsid w:val="00FF60A9"/>
    <w:rsid w:val="1A295829"/>
    <w:rsid w:val="1D350989"/>
    <w:rsid w:val="1D921938"/>
    <w:rsid w:val="4904711E"/>
    <w:rsid w:val="4D447CA9"/>
    <w:rsid w:val="67D122DF"/>
    <w:rsid w:val="6FBE71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9"/>
    <w:semiHidden/>
    <w:unhideWhenUsed/>
    <w:qFormat/>
    <w:uiPriority w:val="99"/>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qFormat/>
    <w:uiPriority w:val="99"/>
    <w:rPr>
      <w:sz w:val="18"/>
      <w:szCs w:val="18"/>
    </w:rPr>
  </w:style>
  <w:style w:type="character" w:customStyle="1" w:styleId="8">
    <w:name w:val="页脚 字符"/>
    <w:basedOn w:val="6"/>
    <w:link w:val="3"/>
    <w:qFormat/>
    <w:uiPriority w:val="99"/>
    <w:rPr>
      <w:sz w:val="18"/>
      <w:szCs w:val="18"/>
    </w:rPr>
  </w:style>
  <w:style w:type="character" w:customStyle="1" w:styleId="9">
    <w:name w:val="日期 字符"/>
    <w:basedOn w:val="6"/>
    <w:link w:val="2"/>
    <w:semiHidden/>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1504</Words>
  <Characters>8575</Characters>
  <Lines>71</Lines>
  <Paragraphs>20</Paragraphs>
  <TotalTime>18</TotalTime>
  <ScaleCrop>false</ScaleCrop>
  <LinksUpToDate>false</LinksUpToDate>
  <CharactersWithSpaces>10059</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2023-08-02T11:18:00Z</dcterms:created>
  <dc:creator>j gang</dc:creator>
  <cp:lastModifiedBy>大山</cp:lastModifiedBy>
  <cp:lastPrinted>2023-08-30T08:30:00Z</cp:lastPrinted>
  <dcterms:modified xsi:type="dcterms:W3CDTF">2024-02-29T09:46:47Z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3BC8A3A11A094902B8391CF0C57DC5D1_12</vt:lpwstr>
  </property>
</Properties>
</file>